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2EE" w:rsidRDefault="001C22EE" w:rsidP="001C22EE">
      <w:pPr>
        <w:jc w:val="center"/>
        <w:rPr>
          <w:b/>
        </w:rPr>
      </w:pPr>
    </w:p>
    <w:p w:rsidR="00D93456" w:rsidRDefault="00D93456" w:rsidP="001C22EE">
      <w:pPr>
        <w:jc w:val="center"/>
        <w:rPr>
          <w:b/>
        </w:rPr>
      </w:pPr>
    </w:p>
    <w:p w:rsidR="00D93456" w:rsidRDefault="00D93456" w:rsidP="001C22EE">
      <w:pPr>
        <w:jc w:val="center"/>
        <w:rPr>
          <w:b/>
        </w:rPr>
      </w:pPr>
    </w:p>
    <w:p w:rsidR="00D93456" w:rsidRDefault="00D93456" w:rsidP="001C22EE">
      <w:pPr>
        <w:jc w:val="center"/>
        <w:rPr>
          <w:b/>
        </w:rPr>
      </w:pPr>
    </w:p>
    <w:p w:rsidR="001C22EE" w:rsidRDefault="001C22EE" w:rsidP="001C22EE">
      <w:pPr>
        <w:jc w:val="center"/>
        <w:rPr>
          <w:b/>
        </w:rPr>
      </w:pPr>
    </w:p>
    <w:p w:rsidR="003E18E4" w:rsidRDefault="00DF69B8" w:rsidP="00D93456">
      <w:pPr>
        <w:ind w:firstLine="0"/>
        <w:jc w:val="center"/>
      </w:pPr>
      <w:r w:rsidRPr="00D93456">
        <w:t>Case Study HV4 2020</w:t>
      </w:r>
    </w:p>
    <w:p w:rsidR="00DF69B8" w:rsidRPr="001C22EE" w:rsidRDefault="00DF69B8" w:rsidP="00D93456">
      <w:pPr>
        <w:ind w:firstLine="0"/>
        <w:jc w:val="center"/>
      </w:pPr>
      <w:r w:rsidRPr="001C22EE">
        <w:t>Name</w:t>
      </w:r>
    </w:p>
    <w:p w:rsidR="00DF69B8" w:rsidRPr="001C22EE" w:rsidRDefault="00DF69B8" w:rsidP="00D93456">
      <w:pPr>
        <w:ind w:firstLine="0"/>
        <w:jc w:val="center"/>
      </w:pPr>
      <w:r w:rsidRPr="001C22EE">
        <w:t>Institution of Affiliation</w:t>
      </w:r>
    </w:p>
    <w:p w:rsidR="00DF69B8" w:rsidRPr="001C22EE" w:rsidRDefault="00DF69B8" w:rsidP="00D93456">
      <w:pPr>
        <w:ind w:firstLine="0"/>
        <w:jc w:val="center"/>
      </w:pPr>
      <w:r w:rsidRPr="001C22EE">
        <w:t>Professor</w:t>
      </w:r>
    </w:p>
    <w:p w:rsidR="00DF69B8" w:rsidRPr="001C22EE" w:rsidRDefault="00DF69B8" w:rsidP="00D93456">
      <w:pPr>
        <w:ind w:firstLine="0"/>
        <w:jc w:val="center"/>
      </w:pPr>
      <w:r w:rsidRPr="001C22EE">
        <w:t>Date</w:t>
      </w:r>
    </w:p>
    <w:p w:rsidR="001C22EE" w:rsidRDefault="001C22EE">
      <w:r>
        <w:br w:type="page"/>
      </w:r>
    </w:p>
    <w:p w:rsidR="003E18E4" w:rsidRPr="00D93456" w:rsidRDefault="003E18E4" w:rsidP="003E18E4">
      <w:pPr>
        <w:ind w:firstLine="0"/>
        <w:jc w:val="center"/>
      </w:pPr>
      <w:bookmarkStart w:id="0" w:name="_GoBack"/>
      <w:r w:rsidRPr="00D93456">
        <w:lastRenderedPageBreak/>
        <w:t>Case Study HV4 2020</w:t>
      </w:r>
    </w:p>
    <w:p w:rsidR="00AB35A0" w:rsidRPr="00930431" w:rsidRDefault="00AB35A0" w:rsidP="003E18E4">
      <w:pPr>
        <w:tabs>
          <w:tab w:val="left" w:pos="1454"/>
        </w:tabs>
        <w:ind w:firstLine="0"/>
        <w:jc w:val="center"/>
        <w:rPr>
          <w:b/>
        </w:rPr>
      </w:pPr>
      <w:r w:rsidRPr="00930431">
        <w:rPr>
          <w:b/>
        </w:rPr>
        <w:t>Question 1</w:t>
      </w:r>
      <w:bookmarkEnd w:id="0"/>
    </w:p>
    <w:p w:rsidR="00B86F40" w:rsidRPr="001C22EE" w:rsidRDefault="001F6832" w:rsidP="001C22EE">
      <w:r w:rsidRPr="001C22EE">
        <w:t>Asthma is a chronic inflammatory disorder of the airways that causes recurrent episodes of wheezing, breathlessness, chest tightness, and cough that are more apparent a night an</w:t>
      </w:r>
      <w:r w:rsidR="00DF69B8" w:rsidRPr="001C22EE">
        <w:t xml:space="preserve">d </w:t>
      </w:r>
      <w:r w:rsidRPr="001C22EE">
        <w:t>or early in the morning</w:t>
      </w:r>
      <w:r w:rsidR="00DF69B8" w:rsidRPr="001C22EE">
        <w:t xml:space="preserve"> (Kumar, Abbas, &amp; Aster, 2013)</w:t>
      </w:r>
      <w:r w:rsidRPr="001C22EE">
        <w:t xml:space="preserve">. </w:t>
      </w:r>
      <w:r w:rsidR="00DF69B8" w:rsidRPr="001C22EE">
        <w:t>There are two forms of the disease: atopic and the non</w:t>
      </w:r>
      <w:r w:rsidR="00233ED2" w:rsidRPr="001C22EE">
        <w:t>-</w:t>
      </w:r>
      <w:r w:rsidR="00DF69B8" w:rsidRPr="001C22EE">
        <w:t xml:space="preserve">atopic forms. </w:t>
      </w:r>
      <w:r w:rsidRPr="001C22EE">
        <w:t>In the pathophysiology of the disease</w:t>
      </w:r>
      <w:r w:rsidR="000B7B80" w:rsidRPr="001C22EE">
        <w:t xml:space="preserve">, the inflammation </w:t>
      </w:r>
      <w:r w:rsidRPr="001C22EE">
        <w:t xml:space="preserve">is mediated by particular cells </w:t>
      </w:r>
      <w:r w:rsidR="00B86F40" w:rsidRPr="001C22EE">
        <w:t xml:space="preserve">of the immune system </w:t>
      </w:r>
      <w:r w:rsidRPr="001C22EE">
        <w:t>(</w:t>
      </w:r>
      <w:r w:rsidR="00233ED2" w:rsidRPr="001C22EE">
        <w:t>Kumar, Abbas, &amp; Aster, 2013</w:t>
      </w:r>
      <w:r w:rsidRPr="001C22EE">
        <w:t>).</w:t>
      </w:r>
      <w:r w:rsidR="00414B48" w:rsidRPr="001C22EE">
        <w:t xml:space="preserve"> The major etiologic factors </w:t>
      </w:r>
      <w:r w:rsidR="00233ED2" w:rsidRPr="001C22EE">
        <w:t>of the disease</w:t>
      </w:r>
      <w:r w:rsidR="000B7B80" w:rsidRPr="001C22EE">
        <w:t xml:space="preserve">include </w:t>
      </w:r>
      <w:r w:rsidR="00414B48" w:rsidRPr="001C22EE">
        <w:t>genetic predisposition to Type 1 Hypersensitivity reaction (atopy), acute and chronic in</w:t>
      </w:r>
      <w:r w:rsidR="000B7B80" w:rsidRPr="001C22EE">
        <w:t>flammation, and bronchial hyper-</w:t>
      </w:r>
      <w:r w:rsidR="00414B48" w:rsidRPr="001C22EE">
        <w:t xml:space="preserve">responsiveness to a variety of stimuli. </w:t>
      </w:r>
    </w:p>
    <w:p w:rsidR="00B86F40" w:rsidRPr="001C22EE" w:rsidRDefault="00414B48" w:rsidP="001C22EE">
      <w:r w:rsidRPr="001C22EE">
        <w:t>In atopic individuals</w:t>
      </w:r>
      <w:r w:rsidR="000B7B80" w:rsidRPr="001C22EE">
        <w:t>,</w:t>
      </w:r>
      <w:r w:rsidRPr="001C22EE">
        <w:t xml:space="preserve"> the disease occurs as soon as the patient is exposed to the triggering allergen</w:t>
      </w:r>
      <w:r w:rsidR="000B7B80" w:rsidRPr="001C22EE">
        <w:t xml:space="preserve"> thus eliciting</w:t>
      </w:r>
      <w:r w:rsidR="00CA3E4E" w:rsidRPr="001C22EE">
        <w:t xml:space="preserve"> an </w:t>
      </w:r>
      <w:r w:rsidR="00233ED2" w:rsidRPr="001C22EE">
        <w:t>‘</w:t>
      </w:r>
      <w:r w:rsidR="00CA3E4E" w:rsidRPr="001C22EE">
        <w:t>acute immediate response’ and a ‘late phase reaction’</w:t>
      </w:r>
      <w:r w:rsidR="00233ED2" w:rsidRPr="001C22EE">
        <w:t xml:space="preserve"> (Kumar, Abbas, &amp; Aster, 2013)</w:t>
      </w:r>
      <w:r w:rsidR="00CA3E4E" w:rsidRPr="001C22EE">
        <w:t>. The initial sensitization to an inhaled allergen will stimulate the induction of CD4</w:t>
      </w:r>
      <w:r w:rsidR="00CA3E4E" w:rsidRPr="001C22EE">
        <w:rPr>
          <w:vertAlign w:val="superscript"/>
        </w:rPr>
        <w:t>+</w:t>
      </w:r>
      <w:r w:rsidR="00CA3E4E" w:rsidRPr="001C22EE">
        <w:t xml:space="preserve"> type 2 helper T (T</w:t>
      </w:r>
      <w:r w:rsidR="00CA3E4E" w:rsidRPr="001C22EE">
        <w:rPr>
          <w:vertAlign w:val="subscript"/>
        </w:rPr>
        <w:t>H</w:t>
      </w:r>
      <w:r w:rsidR="00CA3E4E" w:rsidRPr="001C22EE">
        <w:t>2) cells that release cytokines namely Interleukin (IL) IL-4, IL-5, an IL-13. IL-4 and IL-13 stimulates isotype switching to immunoglobulin (Ig) E (IgE), while IL-5 stimulates the production and activation of eosinophils</w:t>
      </w:r>
      <w:r w:rsidR="00AD4B3A" w:rsidRPr="001C22EE">
        <w:t xml:space="preserve"> (Kumar, Abbas, &amp; Aster, 2013)</w:t>
      </w:r>
      <w:r w:rsidR="00CA3E4E" w:rsidRPr="001C22EE">
        <w:t xml:space="preserve">. </w:t>
      </w:r>
      <w:r w:rsidR="00930431" w:rsidRPr="001C22EE">
        <w:t>The IgE produced by the first exposure to the allergen attach and remain on the surface of effectors cells mostly mast cells through the use of the various epsilon crystallizable fragment receptors (Fc</w:t>
      </w:r>
      <w:r w:rsidR="00930431" w:rsidRPr="001C22EE">
        <w:rPr>
          <w:vertAlign w:val="subscript"/>
        </w:rPr>
        <w:t>ϵ</w:t>
      </w:r>
      <w:r w:rsidR="00930431" w:rsidRPr="001C22EE">
        <w:t xml:space="preserve">R)available on the surface of mast cells (Kumar, Abbas, &amp; Aster, 2013). </w:t>
      </w:r>
      <w:r w:rsidR="00721875" w:rsidRPr="001C22EE">
        <w:t>The likes of viral infections an</w:t>
      </w:r>
      <w:r w:rsidR="00233ED2" w:rsidRPr="001C22EE">
        <w:t>d cold air</w:t>
      </w:r>
      <w:r w:rsidR="00B86F40" w:rsidRPr="001C22EE">
        <w:t>, in non-atopic cases,</w:t>
      </w:r>
      <w:r w:rsidR="00233ED2" w:rsidRPr="001C22EE">
        <w:t xml:space="preserve"> reduce</w:t>
      </w:r>
      <w:r w:rsidR="00721875" w:rsidRPr="001C22EE">
        <w:t xml:space="preserve"> the respiratory epithelium’s sensitivity threshold to the offending allergen. </w:t>
      </w:r>
      <w:r w:rsidR="00CA3E4E" w:rsidRPr="001C22EE">
        <w:t xml:space="preserve">Following re-exposure to the </w:t>
      </w:r>
      <w:r w:rsidR="00721875" w:rsidRPr="001C22EE">
        <w:t>same allergen, an acute i</w:t>
      </w:r>
      <w:r w:rsidR="00CA3E4E" w:rsidRPr="001C22EE">
        <w:t>mmediate response ensues within mi</w:t>
      </w:r>
      <w:r w:rsidR="00541E0B" w:rsidRPr="001C22EE">
        <w:t xml:space="preserve">nutes. This is initiated when the </w:t>
      </w:r>
      <w:r w:rsidR="00CA3E4E" w:rsidRPr="001C22EE">
        <w:t>IgE</w:t>
      </w:r>
      <w:r w:rsidR="00541E0B" w:rsidRPr="001C22EE">
        <w:t xml:space="preserve"> on the mast cells encounter t</w:t>
      </w:r>
      <w:r w:rsidR="00721875" w:rsidRPr="001C22EE">
        <w:t>h</w:t>
      </w:r>
      <w:r w:rsidR="00541E0B" w:rsidRPr="001C22EE">
        <w:t>e allergen, resulting in the IgE</w:t>
      </w:r>
      <w:r w:rsidR="00CA3E4E" w:rsidRPr="001C22EE">
        <w:t xml:space="preserve">-sensitized mast cells on the mucosal surface of the </w:t>
      </w:r>
      <w:r w:rsidR="00541E0B" w:rsidRPr="001C22EE">
        <w:t xml:space="preserve">respiratory bronchioles to undergo </w:t>
      </w:r>
      <w:r w:rsidR="00721875" w:rsidRPr="001C22EE">
        <w:t>degranulation</w:t>
      </w:r>
      <w:r w:rsidR="00541E0B" w:rsidRPr="001C22EE">
        <w:t xml:space="preserve"> releasing mediators such as histamine, </w:t>
      </w:r>
      <w:r w:rsidR="00541E0B" w:rsidRPr="001C22EE">
        <w:lastRenderedPageBreak/>
        <w:t xml:space="preserve">leukotrienes, </w:t>
      </w:r>
      <w:r w:rsidR="00721875" w:rsidRPr="001C22EE">
        <w:t xml:space="preserve">prostaglandins, </w:t>
      </w:r>
      <w:r w:rsidR="00541E0B" w:rsidRPr="001C22EE">
        <w:t xml:space="preserve">and chemotactic factors for eosinophils (eotaxin) and neutrophils. Directly or through neuronal reflexes, the mediators </w:t>
      </w:r>
      <w:r w:rsidR="00721875" w:rsidRPr="001C22EE">
        <w:t>induce bronchospasm, increase vascular permeability an</w:t>
      </w:r>
      <w:r w:rsidR="00AD4B3A" w:rsidRPr="001C22EE">
        <w:t>d</w:t>
      </w:r>
      <w:r w:rsidR="00721875" w:rsidRPr="001C22EE">
        <w:t xml:space="preserve"> mucus production, and recruit additional mediator-releasing cells from the blood. The net effects are bronchoconstriction, edema, and mucus hypersecretion that make it increasingly hard to breath, and accumulation of eosinophil and neutrophils that enhance the duration of the inflammation with resultant inflammatory injury to the site of recruitment. </w:t>
      </w:r>
    </w:p>
    <w:p w:rsidR="000B7B80" w:rsidRPr="001C22EE" w:rsidRDefault="00721875" w:rsidP="001C22EE">
      <w:r w:rsidRPr="001C22EE">
        <w:t>Following the acute immediate response, is the late phase reaction occurring 4-8 hours later</w:t>
      </w:r>
      <w:r w:rsidR="00B86F40" w:rsidRPr="001C22EE">
        <w:t xml:space="preserve"> (Kumar, Abbas, &amp; Aster, 2013)</w:t>
      </w:r>
      <w:r w:rsidRPr="001C22EE">
        <w:t>. It is responsible for the prolonged manifestations of asthma as a consequent of th</w:t>
      </w:r>
      <w:r w:rsidR="00B86F40" w:rsidRPr="001C22EE">
        <w:t>e ongoin</w:t>
      </w:r>
      <w:r w:rsidR="000B7B80" w:rsidRPr="001C22EE">
        <w:t xml:space="preserve">g inflammatory reaction </w:t>
      </w:r>
      <w:r w:rsidRPr="001C22EE">
        <w:t>with further release of the mediators which accentuate the symptoms</w:t>
      </w:r>
      <w:r w:rsidR="00B86F40" w:rsidRPr="001C22EE">
        <w:t xml:space="preserve"> (Kumar, Abbas, &amp; Aster, 2013)</w:t>
      </w:r>
      <w:r w:rsidRPr="001C22EE">
        <w:t>. The repeated bouts of inflammation lead to structural changes in the bronchial</w:t>
      </w:r>
      <w:r w:rsidR="00AD4B3A" w:rsidRPr="001C22EE">
        <w:t xml:space="preserve"> wall that are collectively re</w:t>
      </w:r>
      <w:r w:rsidRPr="001C22EE">
        <w:t>fer</w:t>
      </w:r>
      <w:r w:rsidR="00AD4B3A" w:rsidRPr="001C22EE">
        <w:t>r</w:t>
      </w:r>
      <w:r w:rsidRPr="001C22EE">
        <w:t xml:space="preserve">ed to as airway remodeling. </w:t>
      </w:r>
    </w:p>
    <w:p w:rsidR="00AB35A0" w:rsidRPr="001C22EE" w:rsidRDefault="00721875" w:rsidP="001C22EE">
      <w:r w:rsidRPr="001C22EE">
        <w:t>The edema and the inflammatory reaction taking place with</w:t>
      </w:r>
      <w:r w:rsidR="000B7B80" w:rsidRPr="001C22EE">
        <w:t>in</w:t>
      </w:r>
      <w:r w:rsidRPr="001C22EE">
        <w:t xml:space="preserve"> the alveoli increase the distance </w:t>
      </w:r>
      <w:r w:rsidR="00AD4B3A" w:rsidRPr="001C22EE">
        <w:t>through</w:t>
      </w:r>
      <w:r w:rsidRPr="001C22EE">
        <w:t xml:space="preserve"> which air must diffuse to reach the blood hence causing hypercapnia </w:t>
      </w:r>
      <w:r w:rsidR="00B86F40" w:rsidRPr="001C22EE">
        <w:t>and severe hypoxia;</w:t>
      </w:r>
      <w:r w:rsidRPr="001C22EE">
        <w:t xml:space="preserve"> the increased levels of CO</w:t>
      </w:r>
      <w:r w:rsidRPr="001C22EE">
        <w:rPr>
          <w:vertAlign w:val="subscript"/>
        </w:rPr>
        <w:t>2</w:t>
      </w:r>
      <w:r w:rsidRPr="001C22EE">
        <w:t xml:space="preserve"> in blood of which causes respiratory acidos</w:t>
      </w:r>
      <w:r w:rsidR="00AB35A0" w:rsidRPr="001C22EE">
        <w:t>is as is evident in the ABG ana</w:t>
      </w:r>
      <w:r w:rsidRPr="001C22EE">
        <w:t>lysis</w:t>
      </w:r>
      <w:r w:rsidR="00AB35A0" w:rsidRPr="001C22EE">
        <w:t xml:space="preserve"> of the patient.</w:t>
      </w:r>
      <w:r w:rsidR="00222FF5" w:rsidRPr="001C22EE">
        <w:t xml:space="preserve"> This </w:t>
      </w:r>
      <w:r w:rsidR="00B86F40" w:rsidRPr="001C22EE">
        <w:t xml:space="preserve">is </w:t>
      </w:r>
      <w:r w:rsidR="00222FF5" w:rsidRPr="001C22EE">
        <w:t>augmented by the hypoxia that ensues in chronic airway obstruction which shifts metabolism to anaerobic metabolism with resulting production of lactic acid that adds on to the developing respiratory acidosis that is present.</w:t>
      </w:r>
      <w:r w:rsidR="00AB35A0" w:rsidRPr="001C22EE">
        <w:t xml:space="preserve"> The hypercapnia will stimulate the upper respiratory centerto induce increased rates and depth of respiration as is demonstrated in the increased respiratory rates and depths by the patient in addition o</w:t>
      </w:r>
      <w:r w:rsidR="00222FF5" w:rsidRPr="001C22EE">
        <w:t>f</w:t>
      </w:r>
      <w:r w:rsidR="00AB35A0" w:rsidRPr="001C22EE">
        <w:t xml:space="preserve"> using auxiliary muscles to breath. </w:t>
      </w:r>
    </w:p>
    <w:p w:rsidR="00AB35A0" w:rsidRPr="00930431" w:rsidRDefault="00AB35A0" w:rsidP="003E18E4">
      <w:pPr>
        <w:ind w:firstLine="0"/>
        <w:jc w:val="center"/>
        <w:rPr>
          <w:b/>
        </w:rPr>
      </w:pPr>
      <w:r w:rsidRPr="00930431">
        <w:rPr>
          <w:b/>
        </w:rPr>
        <w:t>Question 2: Nursing Strategies</w:t>
      </w:r>
    </w:p>
    <w:p w:rsidR="00AB1466" w:rsidRPr="003E18E4" w:rsidRDefault="00AB1466" w:rsidP="003E18E4">
      <w:pPr>
        <w:ind w:firstLine="0"/>
        <w:rPr>
          <w:b/>
          <w:i/>
        </w:rPr>
      </w:pPr>
      <w:r w:rsidRPr="003E18E4">
        <w:rPr>
          <w:b/>
          <w:i/>
        </w:rPr>
        <w:t>1. Sit Poppy in a High Fowlers position</w:t>
      </w:r>
    </w:p>
    <w:p w:rsidR="00AB35A0" w:rsidRPr="001C22EE" w:rsidRDefault="00B86F40" w:rsidP="001C22EE">
      <w:r w:rsidRPr="001C22EE">
        <w:lastRenderedPageBreak/>
        <w:t xml:space="preserve">This </w:t>
      </w:r>
      <w:r w:rsidR="00AB35A0" w:rsidRPr="001C22EE">
        <w:t>helps to relieve the compression of the chest that occurs due to gravity and hence helps to reduce the total resistance against which the pat</w:t>
      </w:r>
      <w:r w:rsidRPr="001C22EE">
        <w:t>ient pushes</w:t>
      </w:r>
      <w:r w:rsidR="00AB35A0" w:rsidRPr="001C22EE">
        <w:t xml:space="preserve"> air into their lungs. This will enable the patient to e</w:t>
      </w:r>
      <w:r w:rsidRPr="001C22EE">
        <w:t>asily draw in air to their lungs</w:t>
      </w:r>
      <w:r w:rsidR="00AB35A0" w:rsidRPr="001C22EE">
        <w:t xml:space="preserve"> and hence reduce the shortness of breath that is a compounding symptom of asthma</w:t>
      </w:r>
      <w:r w:rsidR="00AD4B3A" w:rsidRPr="001C22EE">
        <w:t>.</w:t>
      </w:r>
      <w:r w:rsidR="00AB35A0" w:rsidRPr="001C22EE">
        <w:t xml:space="preserve"> It is indicated as an adjuvant to Nebulizer therapy</w:t>
      </w:r>
      <w:r w:rsidRPr="001C22EE">
        <w:t>(</w:t>
      </w:r>
      <w:r w:rsidR="002871F5" w:rsidRPr="001C22EE">
        <w:t>Chanif &amp; Prastika, 2019</w:t>
      </w:r>
      <w:r w:rsidR="00AB35A0" w:rsidRPr="001C22EE">
        <w:t>)</w:t>
      </w:r>
      <w:r w:rsidRPr="001C22EE">
        <w:t xml:space="preserve"> and has </w:t>
      </w:r>
      <w:r w:rsidR="002871F5" w:rsidRPr="001C22EE">
        <w:t xml:space="preserve">been shown to help in improving the diaphragmatic muscle activity hence enhancing diaphragmatic breathing in patients with asthma (Morrow et al. 2019). </w:t>
      </w:r>
    </w:p>
    <w:p w:rsidR="00AB1466" w:rsidRPr="003E18E4" w:rsidRDefault="00AB1466" w:rsidP="003E18E4">
      <w:pPr>
        <w:ind w:firstLine="0"/>
        <w:rPr>
          <w:b/>
          <w:i/>
        </w:rPr>
      </w:pPr>
      <w:r w:rsidRPr="003E18E4">
        <w:rPr>
          <w:b/>
          <w:i/>
        </w:rPr>
        <w:t>2. Apply and titrate oxygen</w:t>
      </w:r>
    </w:p>
    <w:p w:rsidR="00AB1466" w:rsidRPr="001C22EE" w:rsidRDefault="00AB1466" w:rsidP="001C22EE">
      <w:r w:rsidRPr="001C22EE">
        <w:t xml:space="preserve">The nursing plan denoted the need to keep SpO2 at between 92-95%. </w:t>
      </w:r>
      <w:r w:rsidR="007E69B0" w:rsidRPr="001C22EE">
        <w:t>These concentrations</w:t>
      </w:r>
      <w:r w:rsidRPr="001C22EE">
        <w:t xml:space="preserve"> of oxygen can effectively be achieved through the use of </w:t>
      </w:r>
      <w:r w:rsidR="007E69B0" w:rsidRPr="001C22EE">
        <w:t xml:space="preserve">titrated oxygen therapy – oxygen delivered by nasal </w:t>
      </w:r>
      <w:r w:rsidR="00B86F40" w:rsidRPr="001C22EE">
        <w:t>cannula</w:t>
      </w:r>
      <w:r w:rsidR="007E69B0" w:rsidRPr="001C22EE">
        <w:t xml:space="preserve"> that delivers oxygen directly into the </w:t>
      </w:r>
      <w:r w:rsidR="00B86F40" w:rsidRPr="001C22EE">
        <w:t>patients’</w:t>
      </w:r>
      <w:r w:rsidR="007E69B0" w:rsidRPr="001C22EE">
        <w:t xml:space="preserve"> nostrils. </w:t>
      </w:r>
      <w:r w:rsidR="00D73B46" w:rsidRPr="001C22EE">
        <w:t xml:space="preserve">This </w:t>
      </w:r>
      <w:r w:rsidRPr="001C22EE">
        <w:t>will ensure that the nursing pl</w:t>
      </w:r>
      <w:r w:rsidR="00D73B46" w:rsidRPr="001C22EE">
        <w:t>an is achieved since</w:t>
      </w:r>
      <w:r w:rsidRPr="001C22EE">
        <w:t>, when properly fitted and</w:t>
      </w:r>
      <w:r w:rsidR="007E69B0" w:rsidRPr="001C22EE">
        <w:t xml:space="preserve"> used at flow rates of between 2-6 </w:t>
      </w:r>
      <w:r w:rsidR="00B86F40" w:rsidRPr="001C22EE">
        <w:t>liters</w:t>
      </w:r>
      <w:r w:rsidR="007E69B0" w:rsidRPr="001C22EE">
        <w:t xml:space="preserve"> per minute (</w:t>
      </w:r>
      <w:r w:rsidRPr="001C22EE">
        <w:t>LPM</w:t>
      </w:r>
      <w:r w:rsidR="007E69B0" w:rsidRPr="001C22EE">
        <w:t>)</w:t>
      </w:r>
      <w:r w:rsidRPr="001C22EE">
        <w:t xml:space="preserve"> or higher,</w:t>
      </w:r>
      <w:r w:rsidR="007E69B0" w:rsidRPr="001C22EE">
        <w:t xml:space="preserve"> can deliver close to 24%-40%</w:t>
      </w:r>
      <w:r w:rsidR="00D73B46" w:rsidRPr="001C22EE">
        <w:t xml:space="preserve">% oxygen. It </w:t>
      </w:r>
      <w:r w:rsidRPr="001C22EE">
        <w:t>is the type of oxygen delivery device that is indicated for acute medical emergencies as is the case presented by Poppy</w:t>
      </w:r>
      <w:r w:rsidR="007E69B0" w:rsidRPr="001C22EE">
        <w:t xml:space="preserve"> mainly because of its reduced risk of death due to hyperoxaemia as compared to the non-rebreather masks (Pilcher &amp; Beasley, 2015)</w:t>
      </w:r>
      <w:r w:rsidRPr="001C22EE">
        <w:t xml:space="preserve">. </w:t>
      </w:r>
    </w:p>
    <w:p w:rsidR="007E73BA" w:rsidRPr="001C22EE" w:rsidRDefault="007E69B0" w:rsidP="001C22EE">
      <w:r w:rsidRPr="001C22EE">
        <w:t xml:space="preserve">Providing supplemental oxygen works by enhancing the amount of oxygen that reaches the lungs and hence the alveoli and subsequently builds on a </w:t>
      </w:r>
      <w:r w:rsidR="00AD4B3A" w:rsidRPr="001C22EE">
        <w:t xml:space="preserve">higher oxygen </w:t>
      </w:r>
      <w:r w:rsidRPr="001C22EE">
        <w:t>gradient at the alveoli wh</w:t>
      </w:r>
      <w:r w:rsidR="00AD4B3A" w:rsidRPr="001C22EE">
        <w:t>i</w:t>
      </w:r>
      <w:r w:rsidRPr="001C22EE">
        <w:t>ch enha</w:t>
      </w:r>
      <w:r w:rsidR="00AD4B3A" w:rsidRPr="001C22EE">
        <w:t>n</w:t>
      </w:r>
      <w:r w:rsidRPr="001C22EE">
        <w:t>ces its diffusion into blood and consequently elim</w:t>
      </w:r>
      <w:r w:rsidR="00AD4B3A" w:rsidRPr="001C22EE">
        <w:t>in</w:t>
      </w:r>
      <w:r w:rsidRPr="001C22EE">
        <w:t>ates the hypoxia that is created in the case of airway obstruction such as</w:t>
      </w:r>
      <w:r w:rsidR="003E18E4">
        <w:t xml:space="preserve"> </w:t>
      </w:r>
      <w:r w:rsidRPr="001C22EE">
        <w:t xml:space="preserve">that occurring in asthma. In this case, providing supplemental oxygen will assist Poppy by way of </w:t>
      </w:r>
      <w:r w:rsidR="00D73B46" w:rsidRPr="001C22EE">
        <w:t>eliminating</w:t>
      </w:r>
      <w:r w:rsidR="00222FF5" w:rsidRPr="001C22EE">
        <w:t xml:space="preserve"> the hypoxia that was there before hence</w:t>
      </w:r>
      <w:r w:rsidR="00D73B46" w:rsidRPr="001C22EE">
        <w:t xml:space="preserve"> eliminating</w:t>
      </w:r>
      <w:r w:rsidR="00222FF5" w:rsidRPr="001C22EE">
        <w:t xml:space="preserve"> the risks of multi-</w:t>
      </w:r>
      <w:r w:rsidR="00D73B46" w:rsidRPr="001C22EE">
        <w:t>organ failure that would ensu</w:t>
      </w:r>
      <w:r w:rsidR="00222FF5" w:rsidRPr="001C22EE">
        <w:t>e as a result of long standing hypoxia</w:t>
      </w:r>
      <w:r w:rsidR="00B86F40" w:rsidRPr="001C22EE">
        <w:t>, thus</w:t>
      </w:r>
      <w:r w:rsidR="00222FF5" w:rsidRPr="001C22EE">
        <w:t xml:space="preserve"> saving Poppy from deteriorating further to multi-organ dysfunction, failure, and resultant death (Polglase, Ong, &amp; Hillman, 2016).</w:t>
      </w:r>
    </w:p>
    <w:p w:rsidR="007E73BA" w:rsidRPr="00905FE0" w:rsidRDefault="007E73BA" w:rsidP="003E18E4">
      <w:pPr>
        <w:ind w:firstLine="0"/>
        <w:jc w:val="center"/>
        <w:rPr>
          <w:b/>
        </w:rPr>
      </w:pPr>
      <w:r w:rsidRPr="00905FE0">
        <w:rPr>
          <w:b/>
        </w:rPr>
        <w:lastRenderedPageBreak/>
        <w:t>Question 3</w:t>
      </w:r>
    </w:p>
    <w:p w:rsidR="007E73BA" w:rsidRPr="003E18E4" w:rsidRDefault="007E73BA" w:rsidP="003E18E4">
      <w:pPr>
        <w:ind w:firstLine="0"/>
        <w:rPr>
          <w:b/>
        </w:rPr>
      </w:pPr>
      <w:r w:rsidRPr="003E18E4">
        <w:rPr>
          <w:b/>
        </w:rPr>
        <w:t>Salbutamol via nebulizer</w:t>
      </w:r>
    </w:p>
    <w:p w:rsidR="007E73BA" w:rsidRPr="001C22EE" w:rsidRDefault="00D73B46" w:rsidP="001C22EE">
      <w:r w:rsidRPr="001C22EE">
        <w:t xml:space="preserve">This </w:t>
      </w:r>
      <w:r w:rsidR="007E73BA" w:rsidRPr="001C22EE">
        <w:t>is a short-acting beta-adrenergic receptor</w:t>
      </w:r>
      <w:r w:rsidRPr="001C22EE">
        <w:t xml:space="preserve">. </w:t>
      </w:r>
      <w:r w:rsidR="007E73BA" w:rsidRPr="001C22EE">
        <w:t xml:space="preserve">Its mechanism of action is that is interacts with beta 2 adrenergic receptors on the </w:t>
      </w:r>
      <w:r w:rsidRPr="001C22EE">
        <w:t>bronchiole</w:t>
      </w:r>
      <w:r w:rsidR="007E73BA" w:rsidRPr="001C22EE">
        <w:t xml:space="preserve"> smooth muscles leading to the activation of Gs adenylyl cyclase and hence synthesis of cAMP whose net effect of stimulation of downstream signaling molecules results in the direct relaxation of the airway smooth </w:t>
      </w:r>
      <w:r w:rsidRPr="001C22EE">
        <w:t>muscles</w:t>
      </w:r>
      <w:r w:rsidR="007E73BA" w:rsidRPr="001C22EE">
        <w:t xml:space="preserve"> and consequent bronchodilation</w:t>
      </w:r>
      <w:r w:rsidRPr="001C22EE">
        <w:t xml:space="preserve"> (</w:t>
      </w:r>
      <w:r w:rsidR="000B7B80" w:rsidRPr="001C22EE">
        <w:t>Brunton &amp; Parker, 2015</w:t>
      </w:r>
      <w:r w:rsidRPr="001C22EE">
        <w:t>)</w:t>
      </w:r>
      <w:r w:rsidR="007E73BA" w:rsidRPr="001C22EE">
        <w:t>. This relieves the bronchospasm hence helps to relieve difficulty on breathing and subsequently relieves the shortness of breath that is characterist</w:t>
      </w:r>
      <w:r w:rsidR="000B7B80" w:rsidRPr="001C22EE">
        <w:t>ic</w:t>
      </w:r>
      <w:r w:rsidR="007E73BA" w:rsidRPr="001C22EE">
        <w:t xml:space="preserve"> in asthma. Therefore, the </w:t>
      </w:r>
      <w:r w:rsidR="003E18E4" w:rsidRPr="001C22EE">
        <w:t>patient is receiving this medicationto help in bronchodilation and hence relieves</w:t>
      </w:r>
      <w:r w:rsidR="007E73BA" w:rsidRPr="001C22EE">
        <w:t xml:space="preserve"> dyspnea that the patient presented with. The </w:t>
      </w:r>
      <w:r w:rsidR="001C22EE" w:rsidRPr="001C22EE">
        <w:t xml:space="preserve">expected </w:t>
      </w:r>
      <w:r w:rsidR="007E73BA" w:rsidRPr="001C22EE">
        <w:t>clinical response is that the patient will demonst</w:t>
      </w:r>
      <w:r w:rsidR="000B7B80" w:rsidRPr="001C22EE">
        <w:t>rate ease of breathing as the ai</w:t>
      </w:r>
      <w:r w:rsidR="007E73BA" w:rsidRPr="001C22EE">
        <w:t>rway constrictions is relieved. The nursing consideration for this medication include its systemic adverse effects that include increased heart rate with potential development of cardiac arrh</w:t>
      </w:r>
      <w:r w:rsidR="001C22EE" w:rsidRPr="001C22EE">
        <w:t>ythmias,</w:t>
      </w:r>
      <w:r w:rsidR="007E73BA" w:rsidRPr="001C22EE">
        <w:t xml:space="preserve"> and other metabolic disturbances including those of glucose. Therefore, the nurse will need to continue checking the patient’s heart rate and blood glucose levels as beta adrenergic agonists tend to mask the symptoms of hypoglycemia (</w:t>
      </w:r>
      <w:r w:rsidR="000B7B80" w:rsidRPr="001C22EE">
        <w:t>Brunton &amp; Parker, 2015</w:t>
      </w:r>
      <w:r w:rsidR="007E73BA" w:rsidRPr="001C22EE">
        <w:t>).</w:t>
      </w:r>
    </w:p>
    <w:p w:rsidR="007E73BA" w:rsidRPr="003E18E4" w:rsidRDefault="007E73BA" w:rsidP="003E18E4">
      <w:pPr>
        <w:ind w:firstLine="0"/>
        <w:rPr>
          <w:b/>
        </w:rPr>
      </w:pPr>
      <w:r w:rsidRPr="003E18E4">
        <w:rPr>
          <w:b/>
        </w:rPr>
        <w:t xml:space="preserve">Hydrocortisone IV </w:t>
      </w:r>
    </w:p>
    <w:p w:rsidR="007E69B0" w:rsidRPr="001C22EE" w:rsidRDefault="007E73BA" w:rsidP="001C22EE">
      <w:r w:rsidRPr="001C22EE">
        <w:t xml:space="preserve">It is a glucocorticoid that is known for its potent anti-inflammatory efficacy. Its mechanism of action roots from the disturbance in the generation of prostaglandins by </w:t>
      </w:r>
      <w:r w:rsidR="00954954" w:rsidRPr="001C22EE">
        <w:t xml:space="preserve">way of </w:t>
      </w:r>
      <w:r w:rsidRPr="001C22EE">
        <w:t xml:space="preserve">blocking the phospholipase A2 </w:t>
      </w:r>
      <w:r w:rsidR="00954954" w:rsidRPr="001C22EE">
        <w:t xml:space="preserve">enzyme </w:t>
      </w:r>
      <w:r w:rsidRPr="001C22EE">
        <w:t xml:space="preserve">that </w:t>
      </w:r>
      <w:r w:rsidR="00954954" w:rsidRPr="001C22EE">
        <w:t xml:space="preserve">prevents the synthesis of arachidonic acid. The patient is receiving this medication as </w:t>
      </w:r>
      <w:r w:rsidR="001C22EE" w:rsidRPr="001C22EE">
        <w:t xml:space="preserve">to reduce the inflammatory responsethat </w:t>
      </w:r>
      <w:r w:rsidR="00954954" w:rsidRPr="001C22EE">
        <w:t xml:space="preserve">is one hallmark of the underlying cause of asthma. The </w:t>
      </w:r>
      <w:r w:rsidR="001C22EE" w:rsidRPr="001C22EE">
        <w:t xml:space="preserve">expected </w:t>
      </w:r>
      <w:r w:rsidR="00954954" w:rsidRPr="001C22EE">
        <w:t xml:space="preserve">clinical response includes relieve of dyspnea in Poppy as the inflammatory reaction in the airways and subsequent edema is relieved hence </w:t>
      </w:r>
      <w:r w:rsidR="00954954" w:rsidRPr="001C22EE">
        <w:lastRenderedPageBreak/>
        <w:t>improving the diameter and clarity of the airways for air passage and diffusion in the alveoli. The nursing considerations for t</w:t>
      </w:r>
      <w:r w:rsidR="001C22EE" w:rsidRPr="001C22EE">
        <w:t xml:space="preserve">his medication include </w:t>
      </w:r>
      <w:r w:rsidR="00954954" w:rsidRPr="001C22EE">
        <w:t>the development of Cushing’s syndrome due to chronic suppression of the body’s basal production of cortisol with ten</w:t>
      </w:r>
      <w:r w:rsidR="001C22EE" w:rsidRPr="001C22EE">
        <w:t>dencies to hyperglycemia (Brunton &amp; Parker, 2015). The n</w:t>
      </w:r>
      <w:r w:rsidR="00954954" w:rsidRPr="001C22EE">
        <w:t>urse will be required to continue monitoring the blood glucose and cortisol levels.</w:t>
      </w:r>
    </w:p>
    <w:p w:rsidR="00954954" w:rsidRPr="003E18E4" w:rsidRDefault="00954954" w:rsidP="003E18E4">
      <w:pPr>
        <w:ind w:firstLine="0"/>
        <w:rPr>
          <w:b/>
        </w:rPr>
      </w:pPr>
      <w:r w:rsidRPr="003E18E4">
        <w:rPr>
          <w:b/>
        </w:rPr>
        <w:t>Ipratropium Bromide via nebulizer</w:t>
      </w:r>
    </w:p>
    <w:p w:rsidR="00A67042" w:rsidRPr="001C22EE" w:rsidRDefault="00954954" w:rsidP="001C22EE">
      <w:r w:rsidRPr="001C22EE">
        <w:t xml:space="preserve">This is an anticholinergic drug that </w:t>
      </w:r>
      <w:r w:rsidR="001C22EE" w:rsidRPr="001C22EE">
        <w:t>acts by</w:t>
      </w:r>
      <w:r w:rsidR="00A67042" w:rsidRPr="001C22EE">
        <w:t xml:space="preserve"> binding to all Muscarinic receptors subtypes that are present in the airway (M</w:t>
      </w:r>
      <w:r w:rsidR="001C22EE" w:rsidRPr="001C22EE">
        <w:rPr>
          <w:vertAlign w:val="subscript"/>
        </w:rPr>
        <w:t>1</w:t>
      </w:r>
      <w:r w:rsidR="001C22EE" w:rsidRPr="001C22EE">
        <w:t>, M</w:t>
      </w:r>
      <w:r w:rsidR="001C22EE" w:rsidRPr="001C22EE">
        <w:rPr>
          <w:vertAlign w:val="subscript"/>
        </w:rPr>
        <w:t>2</w:t>
      </w:r>
      <w:r w:rsidR="00A67042" w:rsidRPr="001C22EE">
        <w:t xml:space="preserve"> and </w:t>
      </w:r>
      <w:r w:rsidR="001C22EE" w:rsidRPr="001C22EE">
        <w:t>M</w:t>
      </w:r>
      <w:r w:rsidR="001C22EE" w:rsidRPr="001C22EE">
        <w:rPr>
          <w:vertAlign w:val="subscript"/>
        </w:rPr>
        <w:t>3</w:t>
      </w:r>
      <w:r w:rsidR="00A67042" w:rsidRPr="001C22EE">
        <w:t xml:space="preserve">), thus resulting in bronchodilation by inhibiting acetylcholine-mediated bronchospasm. The patient is receiving this medication as it will help relieve the </w:t>
      </w:r>
      <w:r w:rsidR="001C22EE" w:rsidRPr="001C22EE">
        <w:t>bronchospasms</w:t>
      </w:r>
      <w:r w:rsidR="00A67042" w:rsidRPr="001C22EE">
        <w:t xml:space="preserve"> that cause dyspnea in asthma. The </w:t>
      </w:r>
      <w:r w:rsidR="001C22EE" w:rsidRPr="001C22EE">
        <w:t xml:space="preserve">expected </w:t>
      </w:r>
      <w:r w:rsidR="00A67042" w:rsidRPr="001C22EE">
        <w:t>clin</w:t>
      </w:r>
      <w:r w:rsidR="001C22EE" w:rsidRPr="001C22EE">
        <w:t xml:space="preserve">ical response </w:t>
      </w:r>
      <w:r w:rsidR="00A67042" w:rsidRPr="001C22EE">
        <w:t>include</w:t>
      </w:r>
      <w:r w:rsidR="001C22EE" w:rsidRPr="001C22EE">
        <w:t>s</w:t>
      </w:r>
      <w:r w:rsidR="00A67042" w:rsidRPr="001C22EE">
        <w:t xml:space="preserve"> the relief of shortness of breath. The nursing considerati</w:t>
      </w:r>
      <w:r w:rsidR="001C22EE" w:rsidRPr="001C22EE">
        <w:t>ons for this medication include</w:t>
      </w:r>
      <w:r w:rsidR="00A67042" w:rsidRPr="001C22EE">
        <w:t xml:space="preserve"> the occurrence of systemic side effects such as urine retention</w:t>
      </w:r>
      <w:r w:rsidR="00DF69B8" w:rsidRPr="001C22EE">
        <w:t xml:space="preserve">and tachycardia (Brunton &amp; Parker, 2015). The </w:t>
      </w:r>
      <w:r w:rsidR="00A67042" w:rsidRPr="001C22EE">
        <w:t xml:space="preserve">clinical observations to be made include </w:t>
      </w:r>
      <w:r w:rsidR="00DF69B8" w:rsidRPr="001C22EE">
        <w:t xml:space="preserve">regularly checkthe patient’s, Poppy, heart rate for tachycardia that might be life threatening (Brunton &amp; Parker, 2015).  </w:t>
      </w:r>
    </w:p>
    <w:p w:rsidR="001C22EE" w:rsidRDefault="001C22EE">
      <w:r>
        <w:br w:type="page"/>
      </w:r>
    </w:p>
    <w:p w:rsidR="001C22EE" w:rsidRPr="001C22EE" w:rsidRDefault="001C22EE" w:rsidP="001C22EE">
      <w:pPr>
        <w:jc w:val="center"/>
      </w:pPr>
      <w:r w:rsidRPr="001C22EE">
        <w:lastRenderedPageBreak/>
        <w:t>References</w:t>
      </w:r>
    </w:p>
    <w:p w:rsidR="001C22EE" w:rsidRPr="001C22EE" w:rsidRDefault="001C22EE" w:rsidP="001C22EE">
      <w:pPr>
        <w:ind w:left="720" w:hanging="720"/>
      </w:pPr>
      <w:r w:rsidRPr="001C22EE">
        <w:t xml:space="preserve">Brunton &amp; Parker, (2015). </w:t>
      </w:r>
      <w:r w:rsidRPr="001C22EE">
        <w:rPr>
          <w:i/>
        </w:rPr>
        <w:t>Goodman &amp; Gilman’s Manual of pharmacology and Therapeutics</w:t>
      </w:r>
      <w:r w:rsidRPr="001C22EE">
        <w:t xml:space="preserve">. USA: The McGraw-Hill Companies, Inc. </w:t>
      </w:r>
    </w:p>
    <w:p w:rsidR="001C22EE" w:rsidRPr="001C22EE" w:rsidRDefault="001C22EE" w:rsidP="001C22EE">
      <w:pPr>
        <w:ind w:left="720" w:hanging="720"/>
      </w:pPr>
      <w:r w:rsidRPr="001C22EE">
        <w:t xml:space="preserve">Chanif, C. &amp; Prastika, D. (2019). Position of Fowler and Semi-fowler to Reduce of Shortness of Breath (Dyspnea) Level while Undergoing Nebulizer Therapy. </w:t>
      </w:r>
      <w:r w:rsidRPr="001C22EE">
        <w:rPr>
          <w:i/>
        </w:rPr>
        <w:t>South East Asia Nursing Research</w:t>
      </w:r>
      <w:r w:rsidRPr="001C22EE">
        <w:t xml:space="preserve">, 1(1): 14-19 </w:t>
      </w:r>
    </w:p>
    <w:p w:rsidR="001C22EE" w:rsidRPr="001C22EE" w:rsidRDefault="001C22EE" w:rsidP="001C22EE">
      <w:pPr>
        <w:ind w:left="720" w:hanging="720"/>
      </w:pPr>
      <w:r w:rsidRPr="001C22EE">
        <w:t xml:space="preserve">Kumar, V. Abbas, A. &amp; Aster, C. (2013). </w:t>
      </w:r>
      <w:r w:rsidRPr="001C22EE">
        <w:rPr>
          <w:i/>
        </w:rPr>
        <w:t>Robins Basic Pathology</w:t>
      </w:r>
      <w:r w:rsidRPr="001C22EE">
        <w:t xml:space="preserve">. Philadelphia: </w:t>
      </w:r>
      <w:r w:rsidR="00930431" w:rsidRPr="001C22EE">
        <w:t>Elsevier</w:t>
      </w:r>
      <w:r w:rsidRPr="001C22EE">
        <w:t xml:space="preserve"> Saunders. </w:t>
      </w:r>
    </w:p>
    <w:p w:rsidR="001C22EE" w:rsidRPr="001C22EE" w:rsidRDefault="001C22EE" w:rsidP="001C22EE">
      <w:pPr>
        <w:ind w:left="720" w:hanging="720"/>
      </w:pPr>
      <w:r w:rsidRPr="001C22EE">
        <w:t xml:space="preserve">Morrow, B., Brink, J., Grace, S., Pritchard, L., &amp; Lupton-Smith, A. (2016). The Effect of Positioning and Diaphragmatic Breathing Exercises on Respiratory Muscle Activity in People with Chronic Obstructive Pulmonary Disease. </w:t>
      </w:r>
      <w:r w:rsidRPr="001C22EE">
        <w:rPr>
          <w:i/>
        </w:rPr>
        <w:t xml:space="preserve">S </w:t>
      </w:r>
      <w:r w:rsidR="00930431" w:rsidRPr="001C22EE">
        <w:rPr>
          <w:i/>
        </w:rPr>
        <w:t>Afr</w:t>
      </w:r>
      <w:r w:rsidRPr="001C22EE">
        <w:rPr>
          <w:i/>
        </w:rPr>
        <w:t xml:space="preserve"> J Physiothr.,</w:t>
      </w:r>
      <w:r w:rsidRPr="001C22EE">
        <w:t xml:space="preserve"> 72(1): 315</w:t>
      </w:r>
    </w:p>
    <w:p w:rsidR="001C22EE" w:rsidRPr="001C22EE" w:rsidRDefault="001C22EE" w:rsidP="001C22EE">
      <w:pPr>
        <w:ind w:left="720" w:hanging="720"/>
      </w:pPr>
      <w:r w:rsidRPr="001C22EE">
        <w:t xml:space="preserve">Pilcher, J. &amp; Beasley, R. (2015). Acute use of Oxygen Therapy. </w:t>
      </w:r>
      <w:r w:rsidRPr="001C22EE">
        <w:rPr>
          <w:i/>
        </w:rPr>
        <w:t>Aust Prescr</w:t>
      </w:r>
      <w:r w:rsidRPr="001C22EE">
        <w:t>., 38(3): 98-100</w:t>
      </w:r>
    </w:p>
    <w:p w:rsidR="001C22EE" w:rsidRPr="001C22EE" w:rsidRDefault="001C22EE" w:rsidP="001C22EE">
      <w:pPr>
        <w:ind w:left="720" w:hanging="720"/>
      </w:pPr>
      <w:r w:rsidRPr="001C22EE">
        <w:t xml:space="preserve">Polglase, R. G., Ong, T., &amp; Hillman, H. N. (2016). Cardiovascular alterations and Multi Organ </w:t>
      </w:r>
      <w:r w:rsidR="00930431" w:rsidRPr="001C22EE">
        <w:t>Dysfunction</w:t>
      </w:r>
      <w:r w:rsidRPr="001C22EE">
        <w:t xml:space="preserve"> after Birth Asphyxia. </w:t>
      </w:r>
      <w:r w:rsidRPr="001C22EE">
        <w:rPr>
          <w:i/>
        </w:rPr>
        <w:t>Clin Perinatol</w:t>
      </w:r>
      <w:r w:rsidRPr="001C22EE">
        <w:t>., 43(3); 469-483</w:t>
      </w:r>
    </w:p>
    <w:sectPr w:rsidR="001C22EE" w:rsidRPr="001C22EE" w:rsidSect="00D934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E59" w:rsidRDefault="002F6E59" w:rsidP="001C22EE">
      <w:pPr>
        <w:spacing w:line="240" w:lineRule="auto"/>
      </w:pPr>
      <w:r>
        <w:separator/>
      </w:r>
    </w:p>
  </w:endnote>
  <w:endnote w:type="continuationSeparator" w:id="1">
    <w:p w:rsidR="002F6E59" w:rsidRDefault="002F6E59" w:rsidP="001C22E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E59" w:rsidRDefault="002F6E59" w:rsidP="001C22EE">
      <w:pPr>
        <w:spacing w:line="240" w:lineRule="auto"/>
      </w:pPr>
      <w:r>
        <w:separator/>
      </w:r>
    </w:p>
  </w:footnote>
  <w:footnote w:type="continuationSeparator" w:id="1">
    <w:p w:rsidR="002F6E59" w:rsidRDefault="002F6E59" w:rsidP="001C22E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6" w:rsidRDefault="00D93456" w:rsidP="00D93456">
    <w:pPr>
      <w:pStyle w:val="Header"/>
      <w:ind w:firstLine="0"/>
    </w:pPr>
    <w:r>
      <w:t xml:space="preserve">CASE STUDY HV4 2020                                                                                                          </w:t>
    </w:r>
    <w:sdt>
      <w:sdtPr>
        <w:id w:val="27195048"/>
        <w:docPartObj>
          <w:docPartGallery w:val="Page Numbers (Top of Page)"/>
          <w:docPartUnique/>
        </w:docPartObj>
      </w:sdtPr>
      <w:sdtContent>
        <w:fldSimple w:instr=" PAGE   \* MERGEFORMAT ">
          <w:r>
            <w:rPr>
              <w:noProof/>
            </w:rPr>
            <w:t>2</w:t>
          </w:r>
        </w:fldSimple>
      </w:sdtContent>
    </w:sdt>
  </w:p>
  <w:p w:rsidR="001C22EE" w:rsidRDefault="001C22E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56" w:rsidRDefault="00D93456">
    <w:pPr>
      <w:pStyle w:val="Header"/>
      <w:jc w:val="right"/>
    </w:pPr>
    <w:r>
      <w:t xml:space="preserve">Running head: CASE STUDY HV4 2020                                                                           </w:t>
    </w:r>
    <w:sdt>
      <w:sdtPr>
        <w:id w:val="27195164"/>
        <w:docPartObj>
          <w:docPartGallery w:val="Page Numbers (Top of Page)"/>
          <w:docPartUnique/>
        </w:docPartObj>
      </w:sdtPr>
      <w:sdtContent>
        <w:fldSimple w:instr=" PAGE   \* MERGEFORMAT ">
          <w:r>
            <w:rPr>
              <w:noProof/>
            </w:rPr>
            <w:t>1</w:t>
          </w:r>
        </w:fldSimple>
      </w:sdtContent>
    </w:sdt>
  </w:p>
  <w:p w:rsidR="00D93456" w:rsidRDefault="00D9345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A45FE"/>
    <w:rsid w:val="000B7B80"/>
    <w:rsid w:val="001C22EE"/>
    <w:rsid w:val="001F6832"/>
    <w:rsid w:val="00222FF5"/>
    <w:rsid w:val="00233ED2"/>
    <w:rsid w:val="002871F5"/>
    <w:rsid w:val="002F3BEE"/>
    <w:rsid w:val="002F6E59"/>
    <w:rsid w:val="003E18E4"/>
    <w:rsid w:val="00414B48"/>
    <w:rsid w:val="00541E0B"/>
    <w:rsid w:val="00721875"/>
    <w:rsid w:val="007E69B0"/>
    <w:rsid w:val="007E73BA"/>
    <w:rsid w:val="00905FE0"/>
    <w:rsid w:val="00930431"/>
    <w:rsid w:val="00954954"/>
    <w:rsid w:val="00A67042"/>
    <w:rsid w:val="00A87C9A"/>
    <w:rsid w:val="00AA45FE"/>
    <w:rsid w:val="00AB1466"/>
    <w:rsid w:val="00AB35A0"/>
    <w:rsid w:val="00AC41A4"/>
    <w:rsid w:val="00AD4B3A"/>
    <w:rsid w:val="00B86F40"/>
    <w:rsid w:val="00CA3E4E"/>
    <w:rsid w:val="00D73B46"/>
    <w:rsid w:val="00D93456"/>
    <w:rsid w:val="00DF69B8"/>
    <w:rsid w:val="00ED39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C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2EE"/>
    <w:pPr>
      <w:tabs>
        <w:tab w:val="center" w:pos="4680"/>
        <w:tab w:val="right" w:pos="9360"/>
      </w:tabs>
      <w:spacing w:line="240" w:lineRule="auto"/>
    </w:pPr>
  </w:style>
  <w:style w:type="character" w:customStyle="1" w:styleId="HeaderChar">
    <w:name w:val="Header Char"/>
    <w:basedOn w:val="DefaultParagraphFont"/>
    <w:link w:val="Header"/>
    <w:uiPriority w:val="99"/>
    <w:rsid w:val="001C22EE"/>
  </w:style>
  <w:style w:type="paragraph" w:styleId="Footer">
    <w:name w:val="footer"/>
    <w:basedOn w:val="Normal"/>
    <w:link w:val="FooterChar"/>
    <w:uiPriority w:val="99"/>
    <w:unhideWhenUsed/>
    <w:rsid w:val="001C22EE"/>
    <w:pPr>
      <w:tabs>
        <w:tab w:val="center" w:pos="4680"/>
        <w:tab w:val="right" w:pos="9360"/>
      </w:tabs>
      <w:spacing w:line="240" w:lineRule="auto"/>
    </w:pPr>
  </w:style>
  <w:style w:type="character" w:customStyle="1" w:styleId="FooterChar">
    <w:name w:val="Footer Char"/>
    <w:basedOn w:val="DefaultParagraphFont"/>
    <w:link w:val="Footer"/>
    <w:uiPriority w:val="99"/>
    <w:rsid w:val="001C22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2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2EE"/>
  </w:style>
  <w:style w:type="paragraph" w:styleId="Footer">
    <w:name w:val="footer"/>
    <w:basedOn w:val="Normal"/>
    <w:link w:val="FooterChar"/>
    <w:uiPriority w:val="99"/>
    <w:unhideWhenUsed/>
    <w:rsid w:val="001C22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2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7</Pages>
  <Words>1490</Words>
  <Characters>8494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8</cp:revision>
  <dcterms:created xsi:type="dcterms:W3CDTF">2020-04-27T15:01:00Z</dcterms:created>
  <dcterms:modified xsi:type="dcterms:W3CDTF">2020-04-27T21:13:00Z</dcterms:modified>
</cp:coreProperties>
</file>